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rPr>
        <w:sectPr>
          <w:pgSz w:h="15840" w:w="12240" w:orient="portrait"/>
          <w:pgMar w:bottom="720" w:top="720" w:left="720" w:right="720" w:header="720" w:footer="720"/>
          <w:pgNumType w:start="1"/>
        </w:sectPr>
      </w:pPr>
      <w:r w:rsidDel="00000000" w:rsidR="00000000" w:rsidRPr="00000000">
        <w:rPr>
          <w:rFonts w:ascii="Calibri" w:cs="Calibri" w:eastAsia="Calibri" w:hAnsi="Calibri"/>
        </w:rPr>
        <w:drawing>
          <wp:inline distB="0" distT="0" distL="0" distR="0">
            <wp:extent cx="6858000" cy="1371600"/>
            <wp:effectExtent b="0" l="0" r="0" t="0"/>
            <wp:docPr id="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8580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Rule="auto"/>
        <w:rPr>
          <w:b w:val="1"/>
          <w:sz w:val="28"/>
          <w:szCs w:val="28"/>
          <w:u w:val="single"/>
        </w:rPr>
      </w:pPr>
      <w:r w:rsidDel="00000000" w:rsidR="00000000" w:rsidRPr="00000000">
        <w:rPr>
          <w:rtl w:val="0"/>
        </w:rPr>
      </w:r>
    </w:p>
    <w:p w:rsidR="00000000" w:rsidDel="00000000" w:rsidP="00000000" w:rsidRDefault="00000000" w:rsidRPr="00000000" w14:paraId="00000003">
      <w:pPr>
        <w:pageBreakBefore w:val="0"/>
        <w:spacing w:after="0" w:lineRule="auto"/>
        <w:rPr>
          <w:rFonts w:ascii="Calibri" w:cs="Calibri" w:eastAsia="Calibri" w:hAnsi="Calibri"/>
          <w:b w:val="1"/>
          <w:sz w:val="28"/>
          <w:szCs w:val="28"/>
          <w:u w:val="single"/>
        </w:rPr>
      </w:pPr>
      <w:r w:rsidDel="00000000" w:rsidR="00000000" w:rsidRPr="00000000">
        <w:rPr>
          <w:b w:val="1"/>
          <w:sz w:val="28"/>
          <w:szCs w:val="28"/>
          <w:u w:val="single"/>
          <w:rtl w:val="0"/>
        </w:rPr>
        <w:t xml:space="preserve">Fall 2023 - </w:t>
      </w:r>
      <w:r w:rsidDel="00000000" w:rsidR="00000000" w:rsidRPr="00000000">
        <w:rPr>
          <w:rFonts w:ascii="Calibri" w:cs="Calibri" w:eastAsia="Calibri" w:hAnsi="Calibri"/>
          <w:b w:val="1"/>
          <w:sz w:val="28"/>
          <w:szCs w:val="28"/>
          <w:u w:val="single"/>
          <w:rtl w:val="0"/>
        </w:rPr>
        <w:t xml:space="preserve">Undergraduate Courses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CGS 2A – Intro to CGS: Key Terms &amp; Concepts</w:t>
      </w:r>
    </w:p>
    <w:p w:rsidR="00000000" w:rsidDel="00000000" w:rsidP="00000000" w:rsidRDefault="00000000" w:rsidRPr="00000000" w14:paraId="00000005">
      <w:pPr>
        <w:pageBreakBefore w:val="0"/>
        <w:spacing w:after="0" w:line="240" w:lineRule="auto"/>
        <w:rPr>
          <w:rFonts w:ascii="Calibri" w:cs="Calibri" w:eastAsia="Calibri" w:hAnsi="Calibri"/>
          <w:i w:val="1"/>
          <w:sz w:val="24"/>
          <w:szCs w:val="24"/>
        </w:rPr>
      </w:pPr>
      <w:r w:rsidDel="00000000" w:rsidR="00000000" w:rsidRPr="00000000">
        <w:rPr>
          <w:i w:val="1"/>
          <w:sz w:val="24"/>
          <w:szCs w:val="24"/>
          <w:rtl w:val="0"/>
        </w:rPr>
        <w:t xml:space="preserve">Amanda Martin-Sandino</w:t>
      </w:r>
      <w:r w:rsidDel="00000000" w:rsidR="00000000" w:rsidRPr="00000000">
        <w:rPr>
          <w:rFonts w:ascii="Calibri" w:cs="Calibri" w:eastAsia="Calibri" w:hAnsi="Calibri"/>
          <w:i w:val="1"/>
          <w:sz w:val="24"/>
          <w:szCs w:val="24"/>
          <w:rtl w:val="0"/>
        </w:rPr>
        <w:t xml:space="preserve">, Critical Gender Studies Program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course will be a general introduction to the key terms, issues, and concepts in the fields of gender and sexuality studies.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CGS 100A - Conceptualizing Gender: Theoretical Approaches</w:t>
      </w:r>
    </w:p>
    <w:p w:rsidR="00000000" w:rsidDel="00000000" w:rsidP="00000000" w:rsidRDefault="00000000" w:rsidRPr="00000000" w14:paraId="00000009">
      <w:pPr>
        <w:pageBreakBefore w:val="0"/>
        <w:spacing w:after="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Roy Perez, Critical Gender Studies Program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course explores the significance of gender as a category of analysis by examining diverse theoretical frameworks from the field of critical gender studies. Particular attention is given to gender in relation to race, class, sexuality, nation, (dis)ability, and religion.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spacing w:after="0" w:line="240" w:lineRule="auto"/>
        <w:rPr>
          <w:b w:val="1"/>
          <w:sz w:val="24"/>
          <w:szCs w:val="24"/>
        </w:rPr>
      </w:pPr>
      <w:r w:rsidDel="00000000" w:rsidR="00000000" w:rsidRPr="00000000">
        <w:rPr>
          <w:b w:val="1"/>
          <w:sz w:val="24"/>
          <w:szCs w:val="24"/>
          <w:rtl w:val="0"/>
        </w:rPr>
        <w:t xml:space="preserve">CGS 106 – Gender and the Law</w:t>
      </w:r>
    </w:p>
    <w:p w:rsidR="00000000" w:rsidDel="00000000" w:rsidP="00000000" w:rsidRDefault="00000000" w:rsidRPr="00000000" w14:paraId="0000000D">
      <w:pPr>
        <w:spacing w:after="0" w:line="240" w:lineRule="auto"/>
        <w:rPr>
          <w:i w:val="1"/>
          <w:sz w:val="24"/>
          <w:szCs w:val="24"/>
        </w:rPr>
      </w:pPr>
      <w:r w:rsidDel="00000000" w:rsidR="00000000" w:rsidRPr="00000000">
        <w:rPr>
          <w:i w:val="1"/>
          <w:sz w:val="24"/>
          <w:szCs w:val="24"/>
          <w:rtl w:val="0"/>
        </w:rPr>
        <w:t xml:space="preserve">Leila Whitley, Critical Gender Studies Program</w:t>
      </w:r>
    </w:p>
    <w:p w:rsidR="00000000" w:rsidDel="00000000" w:rsidP="00000000" w:rsidRDefault="00000000" w:rsidRPr="00000000" w14:paraId="0000000E">
      <w:pPr>
        <w:spacing w:after="0" w:line="240" w:lineRule="auto"/>
        <w:rPr/>
      </w:pPr>
      <w:r w:rsidDel="00000000" w:rsidR="00000000" w:rsidRPr="00000000">
        <w:rPr>
          <w:rtl w:val="0"/>
        </w:rPr>
        <w:t xml:space="preserve">Explores the legal treatment of discrimination on the basis of gender, including equal protection doctrine and some statutory law such as Title VII. Topics include the meaning of gender equality in such areas as single-sex education, military service, sexual harassment, discrimination on the basis of pregnancy, and other current issues.</w:t>
      </w:r>
    </w:p>
    <w:p w:rsidR="00000000" w:rsidDel="00000000" w:rsidP="00000000" w:rsidRDefault="00000000" w:rsidRPr="00000000" w14:paraId="0000000F">
      <w:pPr>
        <w:spacing w:after="0" w:line="240" w:lineRule="auto"/>
        <w:rPr>
          <w:i w:val="1"/>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rPr>
          <w:b w:val="1"/>
          <w:sz w:val="24"/>
          <w:szCs w:val="24"/>
        </w:rPr>
      </w:pPr>
      <w:r w:rsidDel="00000000" w:rsidR="00000000" w:rsidRPr="00000000">
        <w:rPr>
          <w:b w:val="1"/>
          <w:sz w:val="24"/>
          <w:szCs w:val="24"/>
          <w:rtl w:val="0"/>
        </w:rPr>
        <w:t xml:space="preserve">CGS 113 – Gender &amp; Sexuality in the Arts</w:t>
      </w:r>
    </w:p>
    <w:p w:rsidR="00000000" w:rsidDel="00000000" w:rsidP="00000000" w:rsidRDefault="00000000" w:rsidRPr="00000000" w14:paraId="00000011">
      <w:pPr>
        <w:pageBreakBefore w:val="0"/>
        <w:spacing w:after="0" w:line="240" w:lineRule="auto"/>
        <w:rPr>
          <w:i w:val="1"/>
          <w:sz w:val="24"/>
          <w:szCs w:val="24"/>
        </w:rPr>
      </w:pPr>
      <w:r w:rsidDel="00000000" w:rsidR="00000000" w:rsidRPr="00000000">
        <w:rPr>
          <w:i w:val="1"/>
          <w:sz w:val="24"/>
          <w:szCs w:val="24"/>
          <w:rtl w:val="0"/>
        </w:rPr>
        <w:t xml:space="preserve">Amanda Martin-Sandino, Critical Gender Studies Program</w:t>
      </w:r>
    </w:p>
    <w:p w:rsidR="00000000" w:rsidDel="00000000" w:rsidP="00000000" w:rsidRDefault="00000000" w:rsidRPr="00000000" w14:paraId="00000012">
      <w:pPr>
        <w:pageBreakBefore w:val="0"/>
        <w:spacing w:after="0" w:line="240" w:lineRule="auto"/>
        <w:rPr>
          <w:b w:val="1"/>
          <w:sz w:val="24"/>
          <w:szCs w:val="24"/>
        </w:rPr>
      </w:pPr>
      <w:r w:rsidDel="00000000" w:rsidR="00000000" w:rsidRPr="00000000">
        <w:rPr>
          <w:highlight w:val="white"/>
          <w:rtl w:val="0"/>
        </w:rPr>
        <w:t xml:space="preserve">Examines gender and sexuality in artistic practices: music, theatre, dance, performance, visual arts, and new media. Topics may include study of specific artists, historical moments, genres, cross-cultural analyses, and multiculturalism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4">
      <w:pPr>
        <w:pageBreakBefore w:val="0"/>
        <w:spacing w:after="0" w:line="240" w:lineRule="auto"/>
        <w:rPr>
          <w:b w:val="1"/>
          <w:sz w:val="24"/>
          <w:szCs w:val="24"/>
        </w:rPr>
      </w:pPr>
      <w:r w:rsidDel="00000000" w:rsidR="00000000" w:rsidRPr="00000000">
        <w:rPr>
          <w:b w:val="1"/>
          <w:sz w:val="24"/>
          <w:szCs w:val="24"/>
          <w:rtl w:val="0"/>
        </w:rPr>
        <w:t xml:space="preserve">CGS 121 – Selected Topics: </w:t>
      </w:r>
      <w:r w:rsidDel="00000000" w:rsidR="00000000" w:rsidRPr="00000000">
        <w:rPr>
          <w:rFonts w:ascii="Trebuchet MS" w:cs="Trebuchet MS" w:eastAsia="Trebuchet MS" w:hAnsi="Trebuchet MS"/>
          <w:b w:val="1"/>
          <w:color w:val="222222"/>
          <w:highlight w:val="white"/>
          <w:rtl w:val="0"/>
        </w:rPr>
        <w:t xml:space="preserve">"Media, Migration, Belonging”</w:t>
      </w:r>
      <w:r w:rsidDel="00000000" w:rsidR="00000000" w:rsidRPr="00000000">
        <w:rPr>
          <w:rtl w:val="0"/>
        </w:rPr>
      </w:r>
    </w:p>
    <w:p w:rsidR="00000000" w:rsidDel="00000000" w:rsidP="00000000" w:rsidRDefault="00000000" w:rsidRPr="00000000" w14:paraId="00000015">
      <w:pPr>
        <w:pageBreakBefore w:val="0"/>
        <w:spacing w:after="0" w:line="240" w:lineRule="auto"/>
        <w:rPr>
          <w:i w:val="1"/>
          <w:sz w:val="24"/>
          <w:szCs w:val="24"/>
        </w:rPr>
      </w:pPr>
      <w:r w:rsidDel="00000000" w:rsidR="00000000" w:rsidRPr="00000000">
        <w:rPr>
          <w:i w:val="1"/>
          <w:sz w:val="24"/>
          <w:szCs w:val="24"/>
          <w:rtl w:val="0"/>
        </w:rPr>
        <w:t xml:space="preserve">Leila Whitley, Critical Gender Studies Program</w:t>
      </w:r>
    </w:p>
    <w:p w:rsidR="00000000" w:rsidDel="00000000" w:rsidP="00000000" w:rsidRDefault="00000000" w:rsidRPr="00000000" w14:paraId="00000016">
      <w:pPr>
        <w:pageBreakBefore w:val="0"/>
        <w:spacing w:after="0" w:line="240" w:lineRule="auto"/>
        <w:rPr>
          <w:highlight w:val="white"/>
        </w:rPr>
      </w:pPr>
      <w:r w:rsidDel="00000000" w:rsidR="00000000" w:rsidRPr="00000000">
        <w:rPr>
          <w:highlight w:val="white"/>
          <w:rtl w:val="0"/>
        </w:rPr>
        <w:t xml:space="preserve">An interdisciplinary course focusing on one of a variety of topics in gender studies, such as gender and science, the body, reproductive technologies, and public policy.</w:t>
      </w:r>
    </w:p>
    <w:p w:rsidR="00000000" w:rsidDel="00000000" w:rsidP="00000000" w:rsidRDefault="00000000" w:rsidRPr="00000000" w14:paraId="00000017">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18">
      <w:pPr>
        <w:pageBreakBefore w:val="0"/>
        <w:spacing w:after="0" w:line="240" w:lineRule="auto"/>
        <w:rPr>
          <w:b w:val="1"/>
          <w:sz w:val="24"/>
          <w:szCs w:val="24"/>
        </w:rPr>
      </w:pPr>
      <w:r w:rsidDel="00000000" w:rsidR="00000000" w:rsidRPr="00000000">
        <w:rPr>
          <w:b w:val="1"/>
          <w:sz w:val="24"/>
          <w:szCs w:val="24"/>
          <w:rtl w:val="0"/>
        </w:rPr>
        <w:t xml:space="preserve">CGS 127 – Feminist Border Studies</w:t>
      </w:r>
    </w:p>
    <w:p w:rsidR="00000000" w:rsidDel="00000000" w:rsidP="00000000" w:rsidRDefault="00000000" w:rsidRPr="00000000" w14:paraId="00000019">
      <w:pPr>
        <w:pageBreakBefore w:val="0"/>
        <w:spacing w:after="0" w:line="240" w:lineRule="auto"/>
        <w:rPr>
          <w:i w:val="1"/>
          <w:sz w:val="24"/>
          <w:szCs w:val="24"/>
        </w:rPr>
      </w:pPr>
      <w:r w:rsidDel="00000000" w:rsidR="00000000" w:rsidRPr="00000000">
        <w:rPr>
          <w:i w:val="1"/>
          <w:sz w:val="24"/>
          <w:szCs w:val="24"/>
          <w:rtl w:val="0"/>
        </w:rPr>
        <w:t xml:space="preserve">Leila Whitley, Critical Gender Studies Program</w:t>
      </w:r>
    </w:p>
    <w:p w:rsidR="00000000" w:rsidDel="00000000" w:rsidP="00000000" w:rsidRDefault="00000000" w:rsidRPr="00000000" w14:paraId="0000001A">
      <w:pPr>
        <w:pageBreakBefore w:val="0"/>
        <w:spacing w:after="0" w:line="240" w:lineRule="auto"/>
        <w:rPr>
          <w:highlight w:val="white"/>
        </w:rPr>
      </w:pPr>
      <w:r w:rsidDel="00000000" w:rsidR="00000000" w:rsidRPr="00000000">
        <w:rPr>
          <w:highlight w:val="white"/>
          <w:rtl w:val="0"/>
        </w:rPr>
        <w:t xml:space="preserve">This course investigates how borders are produced, policed, and maintained, centering gender and sexuality, embodiment, and racialization as key analytic lenses. </w:t>
      </w:r>
    </w:p>
    <w:p w:rsidR="00000000" w:rsidDel="00000000" w:rsidP="00000000" w:rsidRDefault="00000000" w:rsidRPr="00000000" w14:paraId="0000001B">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1C">
      <w:pPr>
        <w:pageBreakBefore w:val="0"/>
        <w:spacing w:after="0" w:line="240" w:lineRule="auto"/>
        <w:rPr>
          <w:b w:val="1"/>
          <w:highlight w:val="white"/>
        </w:rPr>
      </w:pPr>
      <w:r w:rsidDel="00000000" w:rsidR="00000000" w:rsidRPr="00000000">
        <w:rPr>
          <w:b w:val="1"/>
          <w:sz w:val="24"/>
          <w:szCs w:val="24"/>
          <w:highlight w:val="white"/>
          <w:rtl w:val="0"/>
        </w:rPr>
        <w:t xml:space="preserve">CGS 130 - Queer Performativity</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1D">
      <w:pPr>
        <w:spacing w:after="0" w:line="240" w:lineRule="auto"/>
        <w:rPr>
          <w:b w:val="1"/>
          <w:sz w:val="24"/>
          <w:szCs w:val="24"/>
        </w:rPr>
      </w:pPr>
      <w:r w:rsidDel="00000000" w:rsidR="00000000" w:rsidRPr="00000000">
        <w:rPr>
          <w:i w:val="1"/>
          <w:sz w:val="24"/>
          <w:szCs w:val="24"/>
          <w:rtl w:val="0"/>
        </w:rPr>
        <w:t xml:space="preserve">Amanda Martin-Sandino, Critical Gender Studies Program</w:t>
      </w:r>
      <w:r w:rsidDel="00000000" w:rsidR="00000000" w:rsidRPr="00000000">
        <w:rPr>
          <w:rtl w:val="0"/>
        </w:rPr>
      </w:r>
    </w:p>
    <w:p w:rsidR="00000000" w:rsidDel="00000000" w:rsidP="00000000" w:rsidRDefault="00000000" w:rsidRPr="00000000" w14:paraId="0000001E">
      <w:pPr>
        <w:pageBreakBefore w:val="0"/>
        <w:spacing w:after="0" w:line="240" w:lineRule="auto"/>
        <w:rPr>
          <w:rFonts w:ascii="Times New Roman" w:cs="Times New Roman" w:eastAsia="Times New Roman" w:hAnsi="Times New Roman"/>
          <w:b w:val="1"/>
          <w:sz w:val="20"/>
          <w:szCs w:val="20"/>
        </w:rPr>
      </w:pPr>
      <w:r w:rsidDel="00000000" w:rsidR="00000000" w:rsidRPr="00000000">
        <w:rPr>
          <w:rtl w:val="0"/>
        </w:rPr>
        <w:t xml:space="preserve">An advanced introduction to the interdisciplinary field of performance studies with a focus on queer expression. Examines queer theory, cultural production, and social movements, drawing from scholarship on performativity that explores how art, writing, and everyday actions make meaning in the world</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F">
      <w:pPr>
        <w:pageBreakBefore w:val="0"/>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8000" cy="1371600"/>
            <wp:effectExtent b="0" l="0" r="0" t="0"/>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8580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spacing w:after="0" w:line="240" w:lineRule="auto"/>
        <w:rPr>
          <w:b w:val="1"/>
          <w:sz w:val="24"/>
          <w:szCs w:val="24"/>
        </w:rPr>
      </w:pPr>
      <w:r w:rsidDel="00000000" w:rsidR="00000000" w:rsidRPr="00000000">
        <w:rPr>
          <w:b w:val="1"/>
          <w:sz w:val="24"/>
          <w:szCs w:val="24"/>
          <w:rtl w:val="0"/>
        </w:rPr>
        <w:t xml:space="preserve">CGS 187 – Latinx Sexualities</w:t>
      </w:r>
    </w:p>
    <w:p w:rsidR="00000000" w:rsidDel="00000000" w:rsidP="00000000" w:rsidRDefault="00000000" w:rsidRPr="00000000" w14:paraId="00000026">
      <w:pPr>
        <w:spacing w:after="0" w:line="240" w:lineRule="auto"/>
        <w:rPr>
          <w:i w:val="1"/>
        </w:rPr>
      </w:pPr>
      <w:r w:rsidDel="00000000" w:rsidR="00000000" w:rsidRPr="00000000">
        <w:rPr>
          <w:i w:val="1"/>
          <w:rtl w:val="0"/>
        </w:rPr>
        <w:t xml:space="preserve">Roy Perez, Department of Ethnic Studies</w:t>
      </w:r>
    </w:p>
    <w:p w:rsidR="00000000" w:rsidDel="00000000" w:rsidP="00000000" w:rsidRDefault="00000000" w:rsidRPr="00000000" w14:paraId="00000027">
      <w:pPr>
        <w:spacing w:after="0" w:line="240" w:lineRule="auto"/>
        <w:rPr>
          <w:b w:val="1"/>
          <w:sz w:val="24"/>
          <w:szCs w:val="24"/>
        </w:rPr>
      </w:pPr>
      <w:r w:rsidDel="00000000" w:rsidR="00000000" w:rsidRPr="00000000">
        <w:rPr>
          <w:highlight w:val="white"/>
          <w:rtl w:val="0"/>
        </w:rPr>
        <w:t xml:space="preserve">(Cross-listed with ETHN 187.) The construction and articulation of Latinx sexualities will be explored in this course through interdisciplinary and comparative perspectives. We will discuss how immigration, class, and norms of ethnicity, race, and gender determine the construction, expression, and reframing of Latinx sexualities.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CGS 190 – CGS Honors Seminar</w:t>
      </w:r>
      <w:r w:rsidDel="00000000" w:rsidR="00000000" w:rsidRPr="00000000">
        <w:rPr>
          <w:rtl w:val="0"/>
        </w:rPr>
      </w:r>
    </w:p>
    <w:p w:rsidR="00000000" w:rsidDel="00000000" w:rsidP="00000000" w:rsidRDefault="00000000" w:rsidRPr="00000000" w14:paraId="0000002A">
      <w:pPr>
        <w:pageBreakBefore w:val="0"/>
        <w:spacing w:after="0" w:line="240" w:lineRule="auto"/>
        <w:rPr>
          <w:rFonts w:ascii="Calibri" w:cs="Calibri" w:eastAsia="Calibri" w:hAnsi="Calibri"/>
          <w:i w:val="1"/>
        </w:rPr>
      </w:pPr>
      <w:r w:rsidDel="00000000" w:rsidR="00000000" w:rsidRPr="00000000">
        <w:rPr>
          <w:i w:val="1"/>
          <w:sz w:val="24"/>
          <w:szCs w:val="24"/>
          <w:rtl w:val="0"/>
        </w:rPr>
        <w:t xml:space="preserve">Daphne Taylor-Garcia</w:t>
      </w:r>
      <w:r w:rsidDel="00000000" w:rsidR="00000000" w:rsidRPr="00000000">
        <w:rPr>
          <w:rFonts w:ascii="Calibri" w:cs="Calibri" w:eastAsia="Calibri" w:hAnsi="Calibri"/>
          <w:i w:val="1"/>
          <w:sz w:val="24"/>
          <w:szCs w:val="24"/>
          <w:rtl w:val="0"/>
        </w:rPr>
        <w:t xml:space="preserve">, Critical Gender Studies Program </w:t>
      </w:r>
      <w:r w:rsidDel="00000000" w:rsidR="00000000" w:rsidRPr="00000000">
        <w:rPr>
          <w:rtl w:val="0"/>
        </w:rPr>
      </w:r>
    </w:p>
    <w:p w:rsidR="00000000" w:rsidDel="00000000" w:rsidP="00000000" w:rsidRDefault="00000000" w:rsidRPr="00000000" w14:paraId="0000002B">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Interdisciplinary readings in feminist theory and research methodology to prepare students for writing an honors thesis. Open to Critical Gender Studies majors who have been admitted to the Critical Gender Studies Honors Program.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88900</wp:posOffset>
                </wp:positionV>
                <wp:extent cx="6205538" cy="3745526"/>
                <wp:effectExtent b="0" l="0" r="0" t="0"/>
                <wp:wrapSquare wrapText="bothSides" distB="0" distT="0" distL="114300" distR="114300"/>
                <wp:docPr id="16" name=""/>
                <a:graphic>
                  <a:graphicData uri="http://schemas.microsoft.com/office/word/2010/wordprocessingShape">
                    <wps:wsp>
                      <wps:cNvSpPr/>
                      <wps:cNvPr id="2" name="Shape 2"/>
                      <wps:spPr>
                        <a:xfrm>
                          <a:off x="2080195" y="1884525"/>
                          <a:ext cx="6531610" cy="3790950"/>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Applicable &amp; Petitionable UG Courses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#Course is eligible for major/minor credit, but must be petitioned. Please see CGS advisor for assistance with the petition. Some departmental courses may have prerequisites and require preauthorization prior to enrollment. Visit easy.ucsd.edu to request a course preauthorization.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Social Sciences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COMM 108G – </w:t>
                            </w:r>
                            <w:r w:rsidDel="00000000" w:rsidR="00000000" w:rsidRPr="00000000">
                              <w:rPr>
                                <w:rFonts w:ascii="Calibri" w:cs="Calibri" w:eastAsia="Calibri" w:hAnsi="Calibri"/>
                                <w:b w:val="0"/>
                                <w:i w:val="0"/>
                                <w:smallCaps w:val="0"/>
                                <w:strike w:val="0"/>
                                <w:color w:val="000000"/>
                                <w:sz w:val="22"/>
                                <w:highlight w:val="white"/>
                                <w:vertAlign w:val="baseline"/>
                              </w:rPr>
                              <w:t xml:space="preserve">POB: Gender &amp; Biomedicine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COMM 137 </w:t>
                            </w:r>
                            <w:r w:rsidDel="00000000" w:rsidR="00000000" w:rsidRPr="00000000">
                              <w:rPr>
                                <w:rFonts w:ascii="Calibri" w:cs="Calibri" w:eastAsia="Calibri" w:hAnsi="Calibri"/>
                                <w:b w:val="0"/>
                                <w:i w:val="0"/>
                                <w:smallCaps w:val="0"/>
                                <w:strike w:val="0"/>
                                <w:color w:val="000000"/>
                                <w:sz w:val="22"/>
                                <w:vertAlign w:val="baseline"/>
                              </w:rPr>
                              <w:t xml:space="preserve">– Black Women Filmmakers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 PSYC 193 </w:t>
                            </w:r>
                            <w:r w:rsidDel="00000000" w:rsidR="00000000" w:rsidRPr="00000000">
                              <w:rPr>
                                <w:rFonts w:ascii="Calibri" w:cs="Calibri" w:eastAsia="Calibri" w:hAnsi="Calibri"/>
                                <w:b w:val="0"/>
                                <w:i w:val="0"/>
                                <w:smallCaps w:val="0"/>
                                <w:strike w:val="0"/>
                                <w:color w:val="000000"/>
                                <w:sz w:val="22"/>
                                <w:vertAlign w:val="baseline"/>
                              </w:rPr>
                              <w:t xml:space="preserve">– Topics in Psychology: Sexual Well-Being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SOCI 118 – Sociology of Gender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SOCI 119 – Sexuality &amp; Sexual Identities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SOCI 132 – Gender &amp; Work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SOCI 139 – </w:t>
                            </w:r>
                            <w:r w:rsidDel="00000000" w:rsidR="00000000" w:rsidRPr="00000000">
                              <w:rPr>
                                <w:rFonts w:ascii="Calibri" w:cs="Calibri" w:eastAsia="Calibri" w:hAnsi="Calibri"/>
                                <w:b w:val="0"/>
                                <w:i w:val="0"/>
                                <w:smallCaps w:val="0"/>
                                <w:strike w:val="0"/>
                                <w:color w:val="000000"/>
                                <w:sz w:val="22"/>
                                <w:highlight w:val="white"/>
                                <w:vertAlign w:val="baseline"/>
                              </w:rPr>
                              <w:t xml:space="preserve">Social Inequality: Class, Race, &amp; Gender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SOCI 170 – Gender &amp; Science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USP 189 – Topics in USP: Gender, Race, &amp; Place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Arts &amp; Humanities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HIEA 137 – Women &amp; Family in Chinese History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 LTWL 180 - Film Studies &amp; Literature: Bent is Beautiful, Queer Cinema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88900</wp:posOffset>
                </wp:positionV>
                <wp:extent cx="6205538" cy="3745526"/>
                <wp:effectExtent b="0" l="0" r="0" t="0"/>
                <wp:wrapSquare wrapText="bothSides" distB="0" distT="0" distL="114300" distR="114300"/>
                <wp:docPr id="1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05538" cy="3745526"/>
                        </a:xfrm>
                        <a:prstGeom prst="rect"/>
                        <a:ln/>
                      </pic:spPr>
                    </pic:pic>
                  </a:graphicData>
                </a:graphic>
              </wp:anchor>
            </w:drawing>
          </mc:Fallback>
        </mc:AlternateContent>
      </w:r>
    </w:p>
    <w:sectPr>
      <w:footerReference r:id="rId9" w:type="default"/>
      <w:type w:val="continuous"/>
      <w:pgSz w:h="15840" w:w="12240" w:orient="portrait"/>
      <w:pgMar w:bottom="27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left" w:leader="none" w:pos="6795"/>
      </w:tabs>
      <w:spacing w:after="0" w:line="240" w:lineRule="auto"/>
      <w:jc w:val="center"/>
      <w:rPr>
        <w:sz w:val="24"/>
        <w:szCs w:val="24"/>
      </w:rPr>
    </w:pPr>
    <w:r w:rsidDel="00000000" w:rsidR="00000000" w:rsidRPr="00000000">
      <w:rPr>
        <w:rtl w:val="0"/>
      </w:rPr>
    </w:r>
  </w:p>
  <w:p w:rsidR="00000000" w:rsidDel="00000000" w:rsidP="00000000" w:rsidRDefault="00000000" w:rsidRPr="00000000" w14:paraId="0000002F">
    <w:pPr>
      <w:tabs>
        <w:tab w:val="left" w:leader="none" w:pos="6795"/>
      </w:tabs>
      <w:spacing w:after="0" w:line="240" w:lineRule="auto"/>
      <w:jc w:val="center"/>
      <w:rPr>
        <w:sz w:val="24"/>
        <w:szCs w:val="24"/>
      </w:rPr>
    </w:pPr>
    <w:r w:rsidDel="00000000" w:rsidR="00000000" w:rsidRPr="00000000">
      <w:rPr>
        <w:sz w:val="24"/>
        <w:szCs w:val="24"/>
        <w:rtl w:val="0"/>
      </w:rPr>
      <w:t xml:space="preserve">Critical Gender Studies Program | Social Sciences Building, Room 201A |Phone: (858) 534-9982 </w:t>
    </w:r>
  </w:p>
  <w:p w:rsidR="00000000" w:rsidDel="00000000" w:rsidP="00000000" w:rsidRDefault="00000000" w:rsidRPr="00000000" w14:paraId="00000030">
    <w:pPr>
      <w:tabs>
        <w:tab w:val="left" w:leader="none" w:pos="6795"/>
      </w:tabs>
      <w:spacing w:after="0" w:line="240" w:lineRule="auto"/>
      <w:jc w:val="center"/>
      <w:rPr>
        <w:sz w:val="24"/>
        <w:szCs w:val="24"/>
      </w:rPr>
    </w:pPr>
    <w:r w:rsidDel="00000000" w:rsidR="00000000" w:rsidRPr="00000000">
      <w:rPr>
        <w:sz w:val="24"/>
        <w:szCs w:val="24"/>
        <w:rtl w:val="0"/>
      </w:rPr>
      <w:t xml:space="preserve">E-mail: </w:t>
    </w:r>
    <w:hyperlink r:id="rId1">
      <w:r w:rsidDel="00000000" w:rsidR="00000000" w:rsidRPr="00000000">
        <w:rPr>
          <w:color w:val="000000"/>
          <w:sz w:val="24"/>
          <w:szCs w:val="24"/>
          <w:u w:val="single"/>
          <w:rtl w:val="0"/>
        </w:rPr>
        <w:t xml:space="preserve">cgs@ucsd.edu</w:t>
      </w:r>
    </w:hyperlink>
    <w:r w:rsidDel="00000000" w:rsidR="00000000" w:rsidRPr="00000000">
      <w:rPr>
        <w:sz w:val="24"/>
        <w:szCs w:val="24"/>
        <w:rtl w:val="0"/>
      </w:rPr>
      <w:t xml:space="preserve"> | Website: </w:t>
    </w:r>
    <w:hyperlink r:id="rId2">
      <w:r w:rsidDel="00000000" w:rsidR="00000000" w:rsidRPr="00000000">
        <w:rPr>
          <w:color w:val="000000"/>
          <w:sz w:val="24"/>
          <w:szCs w:val="24"/>
          <w:u w:val="single"/>
          <w:rtl w:val="0"/>
        </w:rPr>
        <w:t xml:space="preserve">http://cgs.ucsd.edu</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3C70"/>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B0386E"/>
    <w:pPr>
      <w:tabs>
        <w:tab w:val="center" w:pos="4320"/>
        <w:tab w:val="right" w:pos="8640"/>
      </w:tabs>
      <w:spacing w:after="0" w:line="240" w:lineRule="auto"/>
    </w:pPr>
    <w:rPr>
      <w:rFonts w:ascii="Times" w:eastAsia="Times" w:hAnsi="Times"/>
      <w:sz w:val="24"/>
      <w:szCs w:val="20"/>
    </w:rPr>
  </w:style>
  <w:style w:type="character" w:styleId="HeaderChar" w:customStyle="1">
    <w:name w:val="Header Char"/>
    <w:link w:val="Header"/>
    <w:rsid w:val="00B0386E"/>
    <w:rPr>
      <w:rFonts w:ascii="Times" w:cs="Times New Roman" w:eastAsia="Times" w:hAnsi="Times"/>
      <w:sz w:val="24"/>
      <w:szCs w:val="20"/>
    </w:rPr>
  </w:style>
  <w:style w:type="paragraph" w:styleId="BalloonText">
    <w:name w:val="Balloon Text"/>
    <w:basedOn w:val="Normal"/>
    <w:link w:val="BalloonTextChar"/>
    <w:uiPriority w:val="99"/>
    <w:semiHidden w:val="1"/>
    <w:unhideWhenUsed w:val="1"/>
    <w:rsid w:val="00B0386E"/>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B0386E"/>
    <w:rPr>
      <w:rFonts w:ascii="Tahoma" w:cs="Tahoma" w:hAnsi="Tahoma"/>
      <w:sz w:val="16"/>
      <w:szCs w:val="16"/>
    </w:rPr>
  </w:style>
  <w:style w:type="character" w:styleId="apple-style-span" w:customStyle="1">
    <w:name w:val="apple-style-span"/>
    <w:basedOn w:val="DefaultParagraphFont"/>
    <w:rsid w:val="00B35358"/>
  </w:style>
  <w:style w:type="character" w:styleId="Hyperlink">
    <w:name w:val="Hyperlink"/>
    <w:uiPriority w:val="99"/>
    <w:unhideWhenUsed w:val="1"/>
    <w:rsid w:val="004A2B14"/>
    <w:rPr>
      <w:color w:val="0000ff"/>
      <w:u w:val="single"/>
    </w:rPr>
  </w:style>
  <w:style w:type="paragraph" w:styleId="PlainText">
    <w:name w:val="Plain Text"/>
    <w:basedOn w:val="Normal"/>
    <w:link w:val="PlainTextChar"/>
    <w:uiPriority w:val="99"/>
    <w:unhideWhenUsed w:val="1"/>
    <w:rsid w:val="00DE20BD"/>
    <w:pPr>
      <w:spacing w:after="0" w:line="240" w:lineRule="auto"/>
    </w:pPr>
    <w:rPr>
      <w:rFonts w:ascii="Consolas" w:hAnsi="Consolas"/>
      <w:sz w:val="21"/>
      <w:szCs w:val="21"/>
    </w:rPr>
  </w:style>
  <w:style w:type="character" w:styleId="PlainTextChar" w:customStyle="1">
    <w:name w:val="Plain Text Char"/>
    <w:link w:val="PlainText"/>
    <w:uiPriority w:val="99"/>
    <w:rsid w:val="00DE20BD"/>
    <w:rPr>
      <w:rFonts w:ascii="Consolas" w:cs="Times New Roman" w:eastAsia="Calibri" w:hAnsi="Consolas"/>
      <w:sz w:val="21"/>
      <w:szCs w:val="21"/>
    </w:rPr>
  </w:style>
  <w:style w:type="paragraph" w:styleId="Default" w:customStyle="1">
    <w:name w:val="Default"/>
    <w:rsid w:val="002B2066"/>
    <w:pPr>
      <w:autoSpaceDE w:val="0"/>
      <w:autoSpaceDN w:val="0"/>
      <w:adjustRightInd w:val="0"/>
    </w:pPr>
    <w:rPr>
      <w:rFonts w:ascii="Baskerville Old Face" w:cs="Baskerville Old Face" w:hAnsi="Baskerville Old Face"/>
      <w:color w:val="000000"/>
      <w:sz w:val="24"/>
      <w:szCs w:val="24"/>
    </w:rPr>
  </w:style>
  <w:style w:type="paragraph" w:styleId="NoSpacing">
    <w:name w:val="No Spacing"/>
    <w:uiPriority w:val="1"/>
    <w:qFormat w:val="1"/>
    <w:rsid w:val="00C95926"/>
    <w:rPr>
      <w:sz w:val="22"/>
      <w:szCs w:val="22"/>
    </w:rPr>
  </w:style>
  <w:style w:type="paragraph" w:styleId="course-descriptions" w:customStyle="1">
    <w:name w:val="course-descriptions"/>
    <w:basedOn w:val="Normal"/>
    <w:rsid w:val="00F81F94"/>
    <w:pPr>
      <w:spacing w:after="100" w:afterAutospacing="1" w:before="100" w:beforeAutospacing="1" w:line="240" w:lineRule="auto"/>
    </w:pPr>
    <w:rPr>
      <w:rFonts w:ascii="Times" w:eastAsia="Times New Roman" w:hAnsi="Times"/>
      <w:sz w:val="20"/>
      <w:szCs w:val="20"/>
    </w:rPr>
  </w:style>
  <w:style w:type="character" w:styleId="Strong">
    <w:name w:val="Strong"/>
    <w:aliases w:val="strong"/>
    <w:uiPriority w:val="22"/>
    <w:qFormat w:val="1"/>
    <w:rsid w:val="00F81F94"/>
    <w:rPr>
      <w:b w:val="1"/>
    </w:rPr>
  </w:style>
  <w:style w:type="character" w:styleId="il" w:customStyle="1">
    <w:name w:val="il"/>
    <w:rsid w:val="00496E3F"/>
  </w:style>
  <w:style w:type="paragraph" w:styleId="p1" w:customStyle="1">
    <w:name w:val="p1"/>
    <w:basedOn w:val="Normal"/>
    <w:rsid w:val="00062E16"/>
    <w:pPr>
      <w:spacing w:after="100" w:afterAutospacing="1" w:before="100" w:beforeAutospacing="1" w:line="240" w:lineRule="auto"/>
    </w:pPr>
    <w:rPr>
      <w:rFonts w:ascii="Times New Roman" w:hAnsi="Times New Roman"/>
      <w:sz w:val="24"/>
      <w:szCs w:val="24"/>
    </w:rPr>
  </w:style>
  <w:style w:type="character" w:styleId="s1" w:customStyle="1">
    <w:name w:val="s1"/>
    <w:rsid w:val="00062E16"/>
  </w:style>
  <w:style w:type="paragraph" w:styleId="NormalWeb">
    <w:name w:val="Normal (Web)"/>
    <w:basedOn w:val="Normal"/>
    <w:uiPriority w:val="99"/>
    <w:semiHidden w:val="1"/>
    <w:unhideWhenUsed w:val="1"/>
    <w:rsid w:val="00BD5D6E"/>
    <w:pPr>
      <w:spacing w:after="100" w:afterAutospacing="1" w:before="100" w:beforeAutospacing="1" w:line="240" w:lineRule="auto"/>
    </w:pPr>
    <w:rPr>
      <w:rFonts w:ascii="Times New Roman" w:eastAsia="Times New Roman" w:hAnsi="Times New Roman"/>
      <w:sz w:val="24"/>
      <w:szCs w:val="24"/>
    </w:rPr>
  </w:style>
  <w:style w:type="character" w:styleId="apple-converted-space" w:customStyle="1">
    <w:name w:val="apple-converted-space"/>
    <w:basedOn w:val="DefaultParagraphFont"/>
    <w:rsid w:val="003C74E4"/>
  </w:style>
  <w:style w:type="paragraph" w:styleId="Footer">
    <w:name w:val="footer"/>
    <w:basedOn w:val="Normal"/>
    <w:link w:val="FooterChar"/>
    <w:uiPriority w:val="99"/>
    <w:unhideWhenUsed w:val="1"/>
    <w:rsid w:val="000370A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70AC"/>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cgs@ucsd.edu" TargetMode="External"/><Relationship Id="rId2" Type="http://schemas.openxmlformats.org/officeDocument/2006/relationships/hyperlink" Target="http://cgs.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bZrheeKYnCpnRwHW+bMoIV2Syw==">CgMxLjA4AHIhMU1aLVFGSGFTanpUZFQ2Uy1EN281M0ItcVBvRjJNc0Fh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2017-05-18T20:23:00Z</dcterms:created>
  <dc:creator>Kira Preston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-1366362482</vt:i4>
  </property>
</Properties>
</file>